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D" w:rsidRPr="00252CC1" w:rsidRDefault="0012236D" w:rsidP="00BD3E8D">
      <w:pPr>
        <w:spacing w:after="25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  <w:t>Complete 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  <w:t xml:space="preserve">ackage - </w:t>
      </w:r>
      <w:r w:rsidR="00BD3E8D" w:rsidRPr="00252CC1"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  <w:t xml:space="preserve">Administration </w:t>
      </w:r>
      <w:proofErr w:type="spellStart"/>
      <w:r w:rsidR="00BD3E8D" w:rsidRPr="00252CC1"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  <w:t>and</w:t>
      </w:r>
      <w:proofErr w:type="spellEnd"/>
      <w:r w:rsidR="00BD3E8D" w:rsidRPr="00252CC1"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  <w:t xml:space="preserve"> Tax</w:t>
      </w:r>
    </w:p>
    <w:p w:rsidR="00BD3E8D" w:rsidRDefault="00BD3E8D" w:rsidP="00BD3E8D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</w:pP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Fixed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price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company package</w:t>
      </w: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 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limited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liability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companies (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Ltd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) - Besloten vennootschap (BV):</w:t>
      </w:r>
    </w:p>
    <w:p w:rsidR="00BD3E8D" w:rsidRPr="00252CC1" w:rsidRDefault="00BD3E8D" w:rsidP="00BD3E8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</w:p>
    <w:p w:rsidR="00BD3E8D" w:rsidRPr="00252CC1" w:rsidRDefault="00BD3E8D" w:rsidP="00BD3E8D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We take care of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administration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returns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for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company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both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business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private. The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price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is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based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on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revenue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size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work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, we take care of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following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:</w:t>
      </w:r>
    </w:p>
    <w:p w:rsidR="00BD3E8D" w:rsidRPr="00252CC1" w:rsidRDefault="00BD3E8D" w:rsidP="00BD3E8D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Administration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accounting;</w:t>
      </w:r>
    </w:p>
    <w:p w:rsidR="00BD3E8D" w:rsidRPr="00252CC1" w:rsidRDefault="00BD3E8D" w:rsidP="00BD3E8D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Year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statement,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calculating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taxable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profit</w:t>
      </w:r>
      <w:proofErr w:type="spellEnd"/>
    </w:p>
    <w:p w:rsidR="00BD3E8D" w:rsidRPr="00252CC1" w:rsidRDefault="00BD3E8D" w:rsidP="00BD3E8D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Tax: VAT returns (Value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added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, BTW or omzetbelasting);</w:t>
      </w:r>
    </w:p>
    <w:p w:rsidR="00BD3E8D" w:rsidRPr="00252CC1" w:rsidRDefault="00BD3E8D" w:rsidP="00BD3E8D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Tax: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income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returns.</w:t>
      </w:r>
    </w:p>
    <w:p w:rsidR="00BD3E8D" w:rsidRPr="00252CC1" w:rsidRDefault="00BD3E8D" w:rsidP="00BD3E8D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Consult: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advise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per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telephone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email</w:t>
      </w:r>
    </w:p>
    <w:p w:rsidR="00BD3E8D" w:rsidRPr="00252CC1" w:rsidRDefault="00BD3E8D" w:rsidP="00BD3E8D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Salaryadministration</w:t>
      </w:r>
      <w:proofErr w:type="spellEnd"/>
    </w:p>
    <w:p w:rsidR="00BD3E8D" w:rsidRPr="00252CC1" w:rsidRDefault="00BD3E8D" w:rsidP="00BD3E8D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Profit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(VPB aangifte)</w:t>
      </w:r>
    </w:p>
    <w:p w:rsidR="00BD3E8D" w:rsidRPr="00252CC1" w:rsidRDefault="00BD3E8D" w:rsidP="00BD3E8D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Prices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per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month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excluding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VAT: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6"/>
        <w:gridCol w:w="1384"/>
      </w:tblGrid>
      <w:tr w:rsidR="00BD3E8D" w:rsidRPr="00252CC1" w:rsidTr="009C1F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proofErr w:type="spellStart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Revenue</w:t>
            </w:r>
            <w:proofErr w:type="spellEnd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and</w:t>
            </w:r>
            <w:proofErr w:type="spellEnd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size</w:t>
            </w:r>
            <w:proofErr w:type="spellEnd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 xml:space="preserve"> of </w:t>
            </w:r>
            <w:proofErr w:type="spellStart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Price All-in</w:t>
            </w:r>
          </w:p>
        </w:tc>
      </w:tr>
      <w:tr w:rsidR="00BD3E8D" w:rsidRPr="00252CC1" w:rsidTr="009C1F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Small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number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of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trnsactions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, &lt; 60.000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revenue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€150</w:t>
            </w:r>
          </w:p>
        </w:tc>
      </w:tr>
      <w:tr w:rsidR="00BD3E8D" w:rsidRPr="00252CC1" w:rsidTr="009C1F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Small 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number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of transactions, 60.000-90.000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revenue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€200</w:t>
            </w:r>
          </w:p>
        </w:tc>
      </w:tr>
      <w:tr w:rsidR="00BD3E8D" w:rsidRPr="00252CC1" w:rsidTr="009C1F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Reasonable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> 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number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of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transations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, 90.000 - 175.000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revenue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€275</w:t>
            </w:r>
          </w:p>
        </w:tc>
      </w:tr>
      <w:tr w:rsidR="00BD3E8D" w:rsidRPr="00252CC1" w:rsidTr="009C1F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Reasonable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number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of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transactons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, 175.000 - 350.000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revenue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€375</w:t>
            </w:r>
          </w:p>
        </w:tc>
      </w:tr>
      <w:tr w:rsidR="00BD3E8D" w:rsidRPr="00252CC1" w:rsidTr="009C1F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A lot of transactions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BD3E8D" w:rsidRPr="00252CC1" w:rsidRDefault="00BD3E8D" w:rsidP="009C1F8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€550</w:t>
            </w:r>
          </w:p>
        </w:tc>
      </w:tr>
    </w:tbl>
    <w:p w:rsidR="001D600F" w:rsidRDefault="001D600F"/>
    <w:sectPr w:rsidR="001D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D"/>
    <w:rsid w:val="0012236D"/>
    <w:rsid w:val="001D600F"/>
    <w:rsid w:val="00B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3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3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M.J. Kooistra</dc:creator>
  <cp:lastModifiedBy>M.J. Kooistra</cp:lastModifiedBy>
  <cp:revision>1</cp:revision>
  <dcterms:created xsi:type="dcterms:W3CDTF">2018-11-22T21:04:00Z</dcterms:created>
  <dcterms:modified xsi:type="dcterms:W3CDTF">2018-11-22T21:14:00Z</dcterms:modified>
</cp:coreProperties>
</file>